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Projektübersicht</w:t>
      </w:r>
    </w:p>
    <w:p>
      <w:pPr>
        <w:rPr>
          <w:rFonts w:ascii="Arial" w:eastAsia="Times New Roman" w:hAnsi="Arial" w:cs="Arial"/>
          <w:b/>
          <w:color w:val="000000"/>
          <w:lang w:eastAsia="de-DE"/>
        </w:rPr>
      </w:pP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Ausbau des mitteldeutschen S-Bahn-Netzes im Süden ST</w:t>
      </w:r>
      <w:r>
        <w:rPr>
          <w:rFonts w:cs="Arial"/>
          <w:color w:val="000000"/>
        </w:rPr>
        <w:br/>
        <w:t>Teilprojekt: Sanierung und Umbau der Bahnstation Braunsbedra bis 2021</w:t>
      </w: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</w:rPr>
      </w:pPr>
      <w:r>
        <w:rPr>
          <w:rFonts w:cs="Arial"/>
        </w:rPr>
        <w:t>Ausbau des mitteldeutschen S-Bahn-Netzes im Süden ST</w:t>
      </w:r>
      <w:r>
        <w:rPr>
          <w:rFonts w:cs="Arial"/>
        </w:rPr>
        <w:br/>
        <w:t xml:space="preserve">Teilprojekt: Durchführung der Planung für die Sanierung der übrigen Stationen der Strecke Merseburg – Querfurt </w:t>
      </w: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</w:rPr>
      </w:pPr>
      <w:r>
        <w:rPr>
          <w:rFonts w:cs="Arial"/>
        </w:rPr>
        <w:t>Entfristung der Bestellung der Strecke Zeitz – Weißenfels Teilprojekt: Modernisierung der Stations- und Stationsumfeldinfrastrukturen (Planung und Umsetzung, )</w:t>
      </w: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</w:rPr>
      </w:pPr>
      <w:r>
        <w:rPr>
          <w:rFonts w:cs="Arial"/>
        </w:rPr>
        <w:t xml:space="preserve">Digitalisierungszentrum Zeitz - Aufbau eines regionalen Digitalisierungszentrums und Erstellung einer Digitalen Strategie für die Stadt Zeitz, Initiierung smarter Projekte </w:t>
      </w: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</w:rPr>
      </w:pPr>
      <w:r>
        <w:rPr>
          <w:rFonts w:cs="Arial"/>
        </w:rPr>
        <w:t>5G-Projekte: a) 5G-Campus Merseburg, b) 5G-Testfeld Starpark</w:t>
      </w: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Reallabor in der Kombination strombasierter Wasserstoff und Kohlenstoff-Kreislauf mit CarbonTrans </w:t>
      </w:r>
      <w:r>
        <w:rPr>
          <w:rFonts w:cs="Arial"/>
          <w:color w:val="000000"/>
        </w:rPr>
        <w:br/>
        <w:t xml:space="preserve">Teilprojekt: Konzept- und Konsortialentwicklung für die Fraunhofer Pilotanlage CarbonTrans in Leuna &amp; Pre-Feasibility Studien für die großtechnische Umsetzung in Mitteldeutschland </w:t>
      </w: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Schaffung eines Bildungscampus in der Stadt Zeitz - Neubau 2-Feld-Turnhalle (2019-2021)</w:t>
      </w: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Interkommunales Industrie- und Gewerbegebiet Weißenfels (2019-2021)</w:t>
      </w: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Stärkung des Kulturtourismus vermittels Pflege hochrangiger Kulturdenkmale im Burgenlandkreis, insbesondere im Zusammenhang mit dem UNESCO-Weltkulturerbe</w:t>
      </w:r>
      <w:r>
        <w:rPr>
          <w:rFonts w:cs="Arial"/>
          <w:color w:val="000000"/>
        </w:rPr>
        <w:br/>
        <w:t xml:space="preserve">Teilprojekt: Instandsetzung der Liegenschaften am Naumburger Domplatz als UNESCO-Kernzone; hier: denkmalgerechte Sanierung der Liegenschaften Neuer Steinweg 1 und 2 </w:t>
      </w: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Sanierung hochrangiger Kulturdenkmale, insbesondere im Zusammenhang mit dem UNESCO-Weltkulturerbe im Burgenlandkreis</w:t>
      </w:r>
      <w:r>
        <w:rPr>
          <w:rFonts w:cs="Arial"/>
          <w:color w:val="000000"/>
        </w:rPr>
        <w:br/>
        <w:t>Teilprojekt: Reinigung Außenhaut des Naumburger Doms als UNESCO-Weltkulturerbe</w:t>
      </w: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</w:rPr>
      </w:pPr>
      <w:r>
        <w:rPr>
          <w:rFonts w:cs="Arial"/>
        </w:rPr>
        <w:t>eSpeicher Halle (Saale); Errichtung von Ladeinfrastruktur für Elektrofahrzeuge im engen Zusammenhang mit dem Abbau bestehender Netzhemmnisse sowie dem Aufbau von Low-Cost-Infrastruktur und Mobile-Metering-Ladepunkten</w:t>
      </w: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Kommunaler Klimaschutz:</w:t>
      </w:r>
      <w:r>
        <w:rPr>
          <w:rFonts w:cs="Arial"/>
          <w:color w:val="000000"/>
        </w:rPr>
        <w:br/>
        <w:t>a) Klimaschutzkonzepte und Klimaschutzmanagement (Erstellung von Klimaschutzkonzepten durch Klimaschutzmanger/-innen sowie Umsetzung erster Maßnahmen)</w:t>
      </w:r>
      <w:r>
        <w:rPr>
          <w:rFonts w:cs="Arial"/>
          <w:color w:val="000000"/>
        </w:rPr>
        <w:br/>
        <w:t>b) Energiemanagementsysteme (Implementierung von  Energiemanagementsystemen zur systematischen und kontinuierlichen Erfassung, Steuerung und fortlaufenden Verbesserung der energetischen Leistung der Gemeinde, dazu Erfassung aller relevanten Handlungsfelder, Prozesse, Verbrauchs- und Erzeugungsstellen sowie Zusammenfassung in einem jährlichen Energiebericht)</w:t>
      </w:r>
      <w:r>
        <w:rPr>
          <w:rFonts w:cs="Arial"/>
          <w:color w:val="000000"/>
        </w:rPr>
        <w:br/>
        <w:t>c) Hocheffiziente Beleuchtungstechnik (Einbau hocheffizienter Beleuchtungstechnik bei der Sanierung von Außen- und Straßenbeleuchtungsanlagen sowie bei Lichtsignalanlagen einschließlich der Steuer- und Regelungstechnik. Einbau hocheffizienter Innen- und Hallenbeleuchtung)</w:t>
      </w: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Aufwertung der Anbindung an das Industriegebiet Webau</w:t>
      </w: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Landesleistungszentrum für Digitale Geschäftsmodelle (Accelerator)</w:t>
      </w: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Verbesserung der Verkehrsinfrastruktur der Stadt Teuchern und Sicherung des Industriestandortes Deuben</w:t>
      </w: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Verbesserung der Infrastruktur der Stadt Hohenmölsen sowie eine verkehrsgerechte Anbindung an die Autobahn A 9, Ausbau der K 2200 </w:t>
      </w:r>
      <w:bookmarkStart w:id="0" w:name="_GoBack"/>
      <w:bookmarkEnd w:id="0"/>
      <w:r>
        <w:rPr>
          <w:rFonts w:cs="Arial"/>
          <w:color w:val="000000"/>
        </w:rPr>
        <w:t>von der B 91 zur Stadt Hohenmölsen</w:t>
      </w: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Bau einer Ausstellungshalle im Europa-Rosarium Sangerhausen zum Aufbau eines Erlebniszentrums Rose, dem Rosenmuseum und einer Mammutgalerie (Teile des Spengler-Museums) </w:t>
      </w:r>
    </w:p>
    <w:p>
      <w:pPr>
        <w:pStyle w:val="Listenabsatz"/>
        <w:numPr>
          <w:ilvl w:val="0"/>
          <w:numId w:val="31"/>
        </w:numPr>
        <w:spacing w:after="200" w:line="276" w:lineRule="auto"/>
        <w:rPr>
          <w:rFonts w:cs="Arial"/>
        </w:rPr>
      </w:pPr>
      <w:r>
        <w:rPr>
          <w:rFonts w:cs="Arial"/>
        </w:rPr>
        <w:t xml:space="preserve">Ortsumfahrung Bad Kösen: Erarbeitung Ausführungsplanung </w:t>
      </w:r>
    </w:p>
    <w:p/>
    <w:sectPr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8D348D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51EAD5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ED2EE6"/>
    <w:multiLevelType w:val="hybridMultilevel"/>
    <w:tmpl w:val="DB829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965C0"/>
    <w:multiLevelType w:val="hybridMultilevel"/>
    <w:tmpl w:val="6722D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5526"/>
    <w:multiLevelType w:val="hybridMultilevel"/>
    <w:tmpl w:val="D9CCF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55CC7"/>
    <w:multiLevelType w:val="hybridMultilevel"/>
    <w:tmpl w:val="10423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34D14"/>
    <w:multiLevelType w:val="hybridMultilevel"/>
    <w:tmpl w:val="608EA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24349"/>
    <w:multiLevelType w:val="hybridMultilevel"/>
    <w:tmpl w:val="298E7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B4E07"/>
    <w:multiLevelType w:val="hybridMultilevel"/>
    <w:tmpl w:val="52CE0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85A50"/>
    <w:multiLevelType w:val="hybridMultilevel"/>
    <w:tmpl w:val="03A8C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F42C6"/>
    <w:multiLevelType w:val="hybridMultilevel"/>
    <w:tmpl w:val="B4104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32E52"/>
    <w:multiLevelType w:val="hybridMultilevel"/>
    <w:tmpl w:val="5BF2B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933CB"/>
    <w:multiLevelType w:val="hybridMultilevel"/>
    <w:tmpl w:val="5942A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820AF"/>
    <w:multiLevelType w:val="hybridMultilevel"/>
    <w:tmpl w:val="37DC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0D29"/>
    <w:multiLevelType w:val="hybridMultilevel"/>
    <w:tmpl w:val="3FFE4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66F54"/>
    <w:multiLevelType w:val="hybridMultilevel"/>
    <w:tmpl w:val="5718C6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578A3"/>
    <w:multiLevelType w:val="hybridMultilevel"/>
    <w:tmpl w:val="8E2CB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03398"/>
    <w:multiLevelType w:val="hybridMultilevel"/>
    <w:tmpl w:val="12C68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52EF4"/>
    <w:multiLevelType w:val="hybridMultilevel"/>
    <w:tmpl w:val="F872B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F12D6"/>
    <w:multiLevelType w:val="hybridMultilevel"/>
    <w:tmpl w:val="93745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E0AD4"/>
    <w:multiLevelType w:val="hybridMultilevel"/>
    <w:tmpl w:val="22F80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04605"/>
    <w:multiLevelType w:val="hybridMultilevel"/>
    <w:tmpl w:val="F378E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A111C"/>
    <w:multiLevelType w:val="hybridMultilevel"/>
    <w:tmpl w:val="4A344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7769C"/>
    <w:multiLevelType w:val="hybridMultilevel"/>
    <w:tmpl w:val="43768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C7D4D"/>
    <w:multiLevelType w:val="hybridMultilevel"/>
    <w:tmpl w:val="87B6F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B698E"/>
    <w:multiLevelType w:val="hybridMultilevel"/>
    <w:tmpl w:val="8D047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0733D"/>
    <w:multiLevelType w:val="hybridMultilevel"/>
    <w:tmpl w:val="6EFE8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95653"/>
    <w:multiLevelType w:val="hybridMultilevel"/>
    <w:tmpl w:val="D8561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C5E7A"/>
    <w:multiLevelType w:val="hybridMultilevel"/>
    <w:tmpl w:val="D62CE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30A65"/>
    <w:multiLevelType w:val="hybridMultilevel"/>
    <w:tmpl w:val="FFF4D40A"/>
    <w:lvl w:ilvl="0" w:tplc="F836B8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22"/>
  </w:num>
  <w:num w:numId="5">
    <w:abstractNumId w:val="24"/>
  </w:num>
  <w:num w:numId="6">
    <w:abstractNumId w:val="4"/>
  </w:num>
  <w:num w:numId="7">
    <w:abstractNumId w:val="28"/>
  </w:num>
  <w:num w:numId="8">
    <w:abstractNumId w:val="6"/>
  </w:num>
  <w:num w:numId="9">
    <w:abstractNumId w:val="13"/>
  </w:num>
  <w:num w:numId="10">
    <w:abstractNumId w:val="27"/>
  </w:num>
  <w:num w:numId="11">
    <w:abstractNumId w:val="11"/>
  </w:num>
  <w:num w:numId="12">
    <w:abstractNumId w:val="25"/>
  </w:num>
  <w:num w:numId="13">
    <w:abstractNumId w:val="17"/>
  </w:num>
  <w:num w:numId="14">
    <w:abstractNumId w:val="19"/>
  </w:num>
  <w:num w:numId="15">
    <w:abstractNumId w:val="3"/>
  </w:num>
  <w:num w:numId="16">
    <w:abstractNumId w:val="12"/>
  </w:num>
  <w:num w:numId="17">
    <w:abstractNumId w:val="8"/>
  </w:num>
  <w:num w:numId="18">
    <w:abstractNumId w:val="15"/>
  </w:num>
  <w:num w:numId="19">
    <w:abstractNumId w:val="26"/>
  </w:num>
  <w:num w:numId="20">
    <w:abstractNumId w:val="9"/>
  </w:num>
  <w:num w:numId="21">
    <w:abstractNumId w:val="20"/>
  </w:num>
  <w:num w:numId="22">
    <w:abstractNumId w:val="7"/>
  </w:num>
  <w:num w:numId="23">
    <w:abstractNumId w:val="30"/>
  </w:num>
  <w:num w:numId="24">
    <w:abstractNumId w:val="0"/>
  </w:num>
  <w:num w:numId="25">
    <w:abstractNumId w:val="1"/>
  </w:num>
  <w:num w:numId="26">
    <w:abstractNumId w:val="2"/>
  </w:num>
  <w:num w:numId="27">
    <w:abstractNumId w:val="16"/>
  </w:num>
  <w:num w:numId="28">
    <w:abstractNumId w:val="29"/>
  </w:num>
  <w:num w:numId="29">
    <w:abstractNumId w:val="10"/>
  </w:num>
  <w:num w:numId="30">
    <w:abstractNumId w:val="5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72520-7AFD-4891-A524-D9DC15D0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  <w:lang w:eastAsia="ja-JP"/>
    </w:rPr>
  </w:style>
  <w:style w:type="character" w:customStyle="1" w:styleId="quotation-mark">
    <w:name w:val="quotation-mark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author">
    <w:name w:val="author"/>
  </w:style>
  <w:style w:type="paragraph" w:styleId="KeinLeerraum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Arial" w:eastAsia="Times New Roman" w:hAnsi="Arial"/>
      <w:sz w:val="22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eastAsia="Calibri" w:hAnsi="Calibri" w:cs="Consolas"/>
      <w:sz w:val="22"/>
      <w:szCs w:val="21"/>
      <w:lang w:eastAsia="en-US"/>
    </w:rPr>
  </w:style>
  <w:style w:type="paragraph" w:styleId="Funotentext">
    <w:name w:val="footnote text"/>
    <w:basedOn w:val="Standard"/>
    <w:link w:val="FunotentextZchn"/>
    <w:rPr>
      <w:rFonts w:eastAsia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Pr>
      <w:rFonts w:eastAsia="Times New Roman"/>
    </w:rPr>
  </w:style>
  <w:style w:type="character" w:styleId="Funotenzeichen">
    <w:name w:val="footnote reference"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F1CB-2343-48D9-A059-8EB87F07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Grußwort von Ministerpräsident Dr</vt:lpstr>
    </vt:vector>
  </TitlesOfParts>
  <Company>Land Sachsen-Anhalt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Grußwort von Ministerpräsident Dr</dc:title>
  <dc:subject/>
  <dc:creator>WachsmannK</dc:creator>
  <cp:keywords/>
  <dc:description/>
  <cp:lastModifiedBy>WachsmannK</cp:lastModifiedBy>
  <cp:revision>3</cp:revision>
  <cp:lastPrinted>2019-01-17T09:40:00Z</cp:lastPrinted>
  <dcterms:created xsi:type="dcterms:W3CDTF">2019-04-04T07:52:00Z</dcterms:created>
  <dcterms:modified xsi:type="dcterms:W3CDTF">2019-04-04T08:03:00Z</dcterms:modified>
</cp:coreProperties>
</file>